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1056945D"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37155B">
        <w:rPr>
          <w:rFonts w:ascii="Arial" w:hAnsi="Arial" w:cs="Arial"/>
          <w:b/>
          <w:bCs/>
          <w:snapToGrid w:val="0"/>
          <w:kern w:val="0"/>
          <w:sz w:val="24"/>
        </w:rPr>
        <w:t>9</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8C21EB">
        <w:rPr>
          <w:rFonts w:ascii="Arial" w:hAnsi="Arial" w:cs="Arial"/>
          <w:b/>
          <w:bCs/>
          <w:snapToGrid w:val="0"/>
          <w:kern w:val="0"/>
          <w:sz w:val="24"/>
        </w:rPr>
        <w:t xml:space="preserve">    </w:t>
      </w:r>
      <w:r w:rsidR="0071582C" w:rsidRPr="0071582C">
        <w:rPr>
          <w:rFonts w:ascii="Arial" w:hAnsi="Arial" w:cs="Arial"/>
          <w:b/>
          <w:bCs/>
          <w:snapToGrid w:val="0"/>
          <w:kern w:val="0"/>
          <w:sz w:val="24"/>
        </w:rPr>
        <w:t>R2-2208333</w:t>
      </w:r>
    </w:p>
    <w:p w14:paraId="5122D9A7" w14:textId="3DA73587" w:rsidR="00DE6A3B" w:rsidRDefault="008C21EB">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sidRPr="008C21EB">
        <w:rPr>
          <w:rFonts w:ascii="Arial" w:hAnsi="Arial" w:cs="Arial"/>
          <w:b/>
          <w:bCs/>
          <w:kern w:val="0"/>
          <w:sz w:val="24"/>
        </w:rPr>
        <w:t xml:space="preserve">Electronic, </w:t>
      </w:r>
      <w:r w:rsidR="0037155B">
        <w:rPr>
          <w:rFonts w:ascii="Arial" w:hAnsi="Arial" w:cs="Arial"/>
          <w:b/>
          <w:bCs/>
          <w:kern w:val="0"/>
          <w:sz w:val="24"/>
        </w:rPr>
        <w:t>17</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Pr="008C21EB">
        <w:rPr>
          <w:rFonts w:ascii="Arial" w:hAnsi="Arial" w:cs="Arial"/>
          <w:b/>
          <w:bCs/>
          <w:kern w:val="0"/>
          <w:sz w:val="24"/>
        </w:rPr>
        <w:t xml:space="preserve">– </w:t>
      </w:r>
      <w:r w:rsidR="006A4D7D">
        <w:rPr>
          <w:rFonts w:ascii="Arial" w:hAnsi="Arial" w:cs="Arial"/>
          <w:b/>
          <w:bCs/>
          <w:kern w:val="0"/>
          <w:sz w:val="24"/>
        </w:rPr>
        <w:t>29</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006A4D7D">
        <w:rPr>
          <w:rFonts w:ascii="Arial" w:hAnsi="Arial" w:cs="Arial"/>
          <w:b/>
          <w:bCs/>
          <w:kern w:val="0"/>
          <w:sz w:val="24"/>
        </w:rPr>
        <w:t>August</w:t>
      </w:r>
      <w:r w:rsidRPr="008C21EB">
        <w:rPr>
          <w:rFonts w:ascii="Arial" w:hAnsi="Arial" w:cs="Arial"/>
          <w:b/>
          <w:bCs/>
          <w:kern w:val="0"/>
          <w:sz w:val="24"/>
        </w:rPr>
        <w:t xml:space="preserve"> 2022</w:t>
      </w:r>
      <w:r w:rsidR="00321692">
        <w:rPr>
          <w:rFonts w:ascii="Arial" w:hAnsi="Arial" w:cs="Arial"/>
          <w:b/>
          <w:bCs/>
          <w:kern w:val="0"/>
          <w:sz w:val="24"/>
          <w:lang w:val="en-GB"/>
        </w:rPr>
        <w:tab/>
      </w:r>
      <w:r w:rsidR="00321692">
        <w:rPr>
          <w:rFonts w:ascii="Arial" w:hAnsi="Arial" w:cs="Arial"/>
          <w:b/>
          <w:bCs/>
          <w:kern w:val="0"/>
          <w:sz w:val="24"/>
          <w:lang w:val="en-GB"/>
        </w:rPr>
        <w:tab/>
      </w:r>
    </w:p>
    <w:p w14:paraId="10D95A83" w14:textId="4104C53E" w:rsidR="0070743D" w:rsidRPr="00A07FB2" w:rsidRDefault="00321692">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5D6E1F2D"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F5891" w:rsidRPr="007F5891">
        <w:rPr>
          <w:rFonts w:ascii="Arial" w:hAnsi="Arial" w:cs="Arial"/>
          <w:b/>
          <w:bCs/>
          <w:snapToGrid w:val="0"/>
          <w:kern w:val="0"/>
          <w:sz w:val="24"/>
        </w:rPr>
        <w:t>Discussion on NTN-NTN handover enhancement</w:t>
      </w:r>
    </w:p>
    <w:p w14:paraId="5904F7A2" w14:textId="59D10AAE"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C83318" w:rsidRPr="00C83318">
        <w:rPr>
          <w:rFonts w:ascii="Arial" w:hAnsi="Arial" w:cs="Arial"/>
          <w:b/>
          <w:bCs/>
          <w:snapToGrid w:val="0"/>
          <w:kern w:val="0"/>
          <w:sz w:val="24"/>
        </w:rPr>
        <w:t>8.7.4</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E705DBF" w14:textId="04B9B640" w:rsidR="009F6906" w:rsidRDefault="005309BB" w:rsidP="002E3470">
      <w:pPr>
        <w:spacing w:line="240" w:lineRule="auto"/>
        <w:jc w:val="left"/>
        <w:rPr>
          <w:rFonts w:ascii="Arial" w:hAnsi="Arial" w:cs="Arial"/>
          <w:bCs/>
          <w:kern w:val="0"/>
          <w:sz w:val="20"/>
          <w:szCs w:val="20"/>
        </w:rPr>
      </w:pPr>
      <w:r>
        <w:rPr>
          <w:rFonts w:ascii="Arial" w:hAnsi="Arial" w:cs="Arial"/>
          <w:bCs/>
          <w:kern w:val="0"/>
          <w:sz w:val="20"/>
          <w:szCs w:val="20"/>
        </w:rPr>
        <w:t xml:space="preserve">The following objectives have been identified by the new NR NTN enhancement </w:t>
      </w:r>
      <w:r w:rsidR="00D74299">
        <w:rPr>
          <w:rFonts w:ascii="Arial" w:hAnsi="Arial" w:cs="Arial"/>
          <w:bCs/>
          <w:kern w:val="0"/>
          <w:sz w:val="20"/>
          <w:szCs w:val="20"/>
        </w:rPr>
        <w:t>W</w:t>
      </w:r>
      <w:r>
        <w:rPr>
          <w:rFonts w:ascii="Arial" w:hAnsi="Arial" w:cs="Arial"/>
          <w:bCs/>
          <w:kern w:val="0"/>
          <w:sz w:val="20"/>
          <w:szCs w:val="20"/>
        </w:rPr>
        <w:t>I [1]:</w:t>
      </w:r>
    </w:p>
    <w:p w14:paraId="13D36963" w14:textId="77777777" w:rsidR="002B6DDC" w:rsidRPr="002B6DDC" w:rsidRDefault="002B6DDC" w:rsidP="002B6DDC">
      <w:pPr>
        <w:pStyle w:val="afe"/>
        <w:numPr>
          <w:ilvl w:val="0"/>
          <w:numId w:val="44"/>
        </w:numPr>
        <w:spacing w:line="240" w:lineRule="auto"/>
        <w:ind w:firstLineChars="0"/>
        <w:jc w:val="left"/>
        <w:rPr>
          <w:rFonts w:ascii="Arial" w:hAnsi="Arial" w:cs="Arial"/>
          <w:bCs/>
          <w:kern w:val="0"/>
          <w:sz w:val="20"/>
          <w:szCs w:val="20"/>
        </w:rPr>
      </w:pPr>
      <w:r w:rsidRPr="002B6DDC">
        <w:rPr>
          <w:rFonts w:ascii="Arial" w:hAnsi="Arial" w:cs="Arial"/>
          <w:bCs/>
          <w:i/>
          <w:kern w:val="0"/>
          <w:sz w:val="20"/>
          <w:szCs w:val="20"/>
        </w:rPr>
        <w:t xml:space="preserve">Specify NTN-NTN handover enhancement for RRC_CONNECTED UEs in the quasi-earth-fixed cell and earth-moving cell to reduce the signalling overhead. </w:t>
      </w:r>
    </w:p>
    <w:p w14:paraId="5CD28267" w14:textId="0656D4B2" w:rsidR="005309BB" w:rsidRPr="002B6DDC" w:rsidRDefault="005309BB" w:rsidP="002B6DDC">
      <w:pPr>
        <w:spacing w:line="240" w:lineRule="auto"/>
        <w:jc w:val="left"/>
        <w:rPr>
          <w:rFonts w:ascii="Arial" w:hAnsi="Arial" w:cs="Arial"/>
          <w:bCs/>
          <w:kern w:val="0"/>
          <w:sz w:val="20"/>
          <w:szCs w:val="20"/>
        </w:rPr>
      </w:pPr>
      <w:r w:rsidRPr="002B6DDC">
        <w:rPr>
          <w:rFonts w:ascii="Arial" w:hAnsi="Arial" w:cs="Arial" w:hint="eastAsia"/>
          <w:bCs/>
          <w:kern w:val="0"/>
          <w:sz w:val="20"/>
          <w:szCs w:val="20"/>
        </w:rPr>
        <w:t>I</w:t>
      </w:r>
      <w:r w:rsidRPr="002B6DDC">
        <w:rPr>
          <w:rFonts w:ascii="Arial" w:hAnsi="Arial" w:cs="Arial"/>
          <w:bCs/>
          <w:kern w:val="0"/>
          <w:sz w:val="20"/>
          <w:szCs w:val="20"/>
        </w:rPr>
        <w:t>n this paper, we share some understanding on</w:t>
      </w:r>
      <w:r w:rsidR="002B6DDC">
        <w:rPr>
          <w:rFonts w:ascii="Arial" w:hAnsi="Arial" w:cs="Arial"/>
          <w:bCs/>
          <w:kern w:val="0"/>
          <w:sz w:val="20"/>
          <w:szCs w:val="20"/>
        </w:rPr>
        <w:t xml:space="preserve"> </w:t>
      </w:r>
      <w:r w:rsidR="002B6DDC">
        <w:rPr>
          <w:rFonts w:ascii="Arial" w:hAnsi="Arial" w:cs="Arial" w:hint="eastAsia"/>
          <w:bCs/>
          <w:kern w:val="0"/>
          <w:sz w:val="20"/>
          <w:szCs w:val="20"/>
        </w:rPr>
        <w:t>h</w:t>
      </w:r>
      <w:r w:rsidR="002B6DDC">
        <w:rPr>
          <w:rFonts w:ascii="Arial" w:hAnsi="Arial" w:cs="Arial"/>
          <w:bCs/>
          <w:kern w:val="0"/>
          <w:sz w:val="20"/>
          <w:szCs w:val="20"/>
        </w:rPr>
        <w:t xml:space="preserve">ow </w:t>
      </w:r>
      <w:r w:rsidR="002B6DDC">
        <w:rPr>
          <w:rFonts w:ascii="Arial" w:hAnsi="Arial" w:cs="Arial" w:hint="eastAsia"/>
          <w:bCs/>
          <w:kern w:val="0"/>
          <w:sz w:val="20"/>
          <w:szCs w:val="20"/>
        </w:rPr>
        <w:t>t</w:t>
      </w:r>
      <w:r w:rsidR="002B6DDC">
        <w:rPr>
          <w:rFonts w:ascii="Arial" w:hAnsi="Arial" w:cs="Arial"/>
          <w:bCs/>
          <w:kern w:val="0"/>
          <w:sz w:val="20"/>
          <w:szCs w:val="20"/>
        </w:rPr>
        <w:t>o reduce the signaling overhead in NTN-NTN handover.</w:t>
      </w:r>
    </w:p>
    <w:p w14:paraId="0DC0C2AE" w14:textId="3591FB60" w:rsidR="00BA1A5B"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14:paraId="72E4D5A9" w14:textId="45F23A71" w:rsidR="00C876A6" w:rsidRDefault="002B6DDC" w:rsidP="00C876A6">
      <w:pPr>
        <w:pStyle w:val="2"/>
        <w:numPr>
          <w:ilvl w:val="1"/>
          <w:numId w:val="3"/>
        </w:numPr>
        <w:tabs>
          <w:tab w:val="clear" w:pos="432"/>
        </w:tabs>
        <w:overflowPunct/>
        <w:autoSpaceDE/>
        <w:autoSpaceDN/>
        <w:adjustRightInd/>
        <w:spacing w:before="40" w:after="0" w:line="259" w:lineRule="auto"/>
        <w:textAlignment w:val="auto"/>
        <w:rPr>
          <w:rStyle w:val="af8"/>
          <w:rFonts w:cs="Arial"/>
          <w:b w:val="0"/>
          <w:sz w:val="28"/>
          <w:szCs w:val="28"/>
        </w:rPr>
      </w:pPr>
      <w:r>
        <w:rPr>
          <w:rStyle w:val="af8"/>
          <w:rFonts w:cs="Arial"/>
          <w:b w:val="0"/>
          <w:sz w:val="28"/>
          <w:szCs w:val="28"/>
        </w:rPr>
        <w:t>Index based handover command</w:t>
      </w:r>
    </w:p>
    <w:p w14:paraId="1014FC9F" w14:textId="20ACD020" w:rsidR="00433FC8" w:rsidRPr="006D308A" w:rsidRDefault="0054755B" w:rsidP="00433FC8">
      <w:pPr>
        <w:jc w:val="left"/>
        <w:rPr>
          <w:rFonts w:ascii="Arial" w:hAnsi="Arial" w:cs="Arial"/>
          <w:sz w:val="20"/>
          <w:szCs w:val="20"/>
        </w:rPr>
      </w:pPr>
      <w:r>
        <w:rPr>
          <w:rFonts w:ascii="Arial" w:hAnsi="Arial" w:cs="Arial"/>
          <w:sz w:val="20"/>
          <w:szCs w:val="20"/>
        </w:rPr>
        <w:t xml:space="preserve">CHO has been identified to be quite useful in NTN and we have introduced time </w:t>
      </w:r>
      <w:r w:rsidR="00433FC8">
        <w:rPr>
          <w:rFonts w:ascii="Arial" w:hAnsi="Arial" w:cs="Arial"/>
          <w:sz w:val="20"/>
          <w:szCs w:val="20"/>
        </w:rPr>
        <w:t xml:space="preserve">and location </w:t>
      </w:r>
      <w:r>
        <w:rPr>
          <w:rFonts w:ascii="Arial" w:hAnsi="Arial" w:cs="Arial"/>
          <w:sz w:val="20"/>
          <w:szCs w:val="20"/>
        </w:rPr>
        <w:t>based CHO in R17.</w:t>
      </w:r>
      <w:r w:rsidR="006D308A">
        <w:rPr>
          <w:rFonts w:ascii="Arial" w:hAnsi="Arial" w:cs="Arial" w:hint="eastAsia"/>
          <w:sz w:val="20"/>
          <w:szCs w:val="20"/>
        </w:rPr>
        <w:t xml:space="preserve"> </w:t>
      </w:r>
      <w:r w:rsidR="00433FC8" w:rsidRPr="00433FC8">
        <w:rPr>
          <w:rFonts w:ascii="Arial" w:hAnsi="Arial" w:cs="Arial"/>
          <w:sz w:val="20"/>
          <w:szCs w:val="20"/>
        </w:rPr>
        <w:t xml:space="preserve">However, we understand there might be some cases that </w:t>
      </w:r>
      <w:r w:rsidR="006D308A">
        <w:rPr>
          <w:rFonts w:ascii="Arial" w:hAnsi="Arial" w:cs="Arial"/>
          <w:sz w:val="20"/>
          <w:szCs w:val="20"/>
        </w:rPr>
        <w:t>network decides to trigger handover when the CHO condition is not fulfilled yet.</w:t>
      </w:r>
    </w:p>
    <w:p w14:paraId="102C11F8" w14:textId="77777777" w:rsidR="00433FC8" w:rsidRPr="00433FC8" w:rsidRDefault="00433FC8" w:rsidP="00433FC8">
      <w:pPr>
        <w:jc w:val="left"/>
        <w:rPr>
          <w:rFonts w:ascii="Arial" w:hAnsi="Arial" w:cs="Arial"/>
          <w:sz w:val="20"/>
          <w:szCs w:val="20"/>
        </w:rPr>
      </w:pPr>
      <w:r w:rsidRPr="00433FC8">
        <w:rPr>
          <w:rFonts w:ascii="Arial" w:hAnsi="Arial" w:cs="Arial"/>
          <w:sz w:val="20"/>
          <w:szCs w:val="20"/>
        </w:rPr>
        <w:t xml:space="preserve">In this case, the network can simply include the information identifying the CHO candidate cell (e.g. PCI or candidate cell index) in the handover command since the UE has stored the candidate cell configuration. In other words, the other configuration, including e.g. the cell specific parameters and the UE specific parameters can be omitted thus the signaling overhead can be reduced significantly. With the reduction of the payload size, the reception failure of the handover command can be reduced, which would in return reduce the RLF rate and handover failure rate. </w:t>
      </w:r>
    </w:p>
    <w:p w14:paraId="05B9FF09" w14:textId="77777777" w:rsidR="00433FC8" w:rsidRDefault="00433FC8" w:rsidP="00433FC8">
      <w:pPr>
        <w:jc w:val="left"/>
        <w:rPr>
          <w:rFonts w:ascii="Arial" w:hAnsi="Arial" w:cs="Arial"/>
          <w:sz w:val="20"/>
          <w:szCs w:val="20"/>
        </w:rPr>
      </w:pPr>
      <w:r w:rsidRPr="00433FC8">
        <w:rPr>
          <w:rFonts w:ascii="Arial" w:hAnsi="Arial" w:cs="Arial"/>
          <w:sz w:val="20"/>
          <w:szCs w:val="20"/>
        </w:rPr>
        <w:t xml:space="preserve">Thus, we understand if the network wants to trigger a conventional handover to one of the configured CHO candidate cells, one target cell indication (e.g. candidate cell identity or index) can be included in the conventional HO command and UE should apply the corresponding </w:t>
      </w:r>
      <w:r w:rsidRPr="00433FC8">
        <w:rPr>
          <w:rFonts w:ascii="Arial" w:hAnsi="Arial" w:cs="Arial"/>
          <w:i/>
          <w:iCs/>
          <w:sz w:val="20"/>
          <w:szCs w:val="20"/>
        </w:rPr>
        <w:t>condRRCReconfig</w:t>
      </w:r>
      <w:r w:rsidRPr="00433FC8">
        <w:rPr>
          <w:rFonts w:ascii="Arial" w:hAnsi="Arial" w:cs="Arial"/>
          <w:sz w:val="20"/>
          <w:szCs w:val="20"/>
        </w:rPr>
        <w:t>.</w:t>
      </w:r>
    </w:p>
    <w:p w14:paraId="75F5AA41" w14:textId="085A6753" w:rsidR="002B6DDC" w:rsidRDefault="006F5EC6" w:rsidP="000E09FD">
      <w:pPr>
        <w:jc w:val="left"/>
        <w:rPr>
          <w:rFonts w:ascii="Arial" w:hAnsi="Arial" w:cs="Arial"/>
          <w:b/>
          <w:sz w:val="20"/>
          <w:szCs w:val="20"/>
        </w:rPr>
      </w:pPr>
      <w:r w:rsidRPr="00D11A95">
        <w:rPr>
          <w:rFonts w:ascii="Arial" w:hAnsi="Arial" w:cs="Arial"/>
          <w:b/>
          <w:sz w:val="20"/>
          <w:szCs w:val="20"/>
        </w:rPr>
        <w:t>Proposal 1:</w:t>
      </w:r>
      <w:r w:rsidR="00D11A95" w:rsidRPr="00D11A95">
        <w:rPr>
          <w:rFonts w:ascii="Arial" w:hAnsi="Arial" w:cs="Arial"/>
          <w:b/>
          <w:sz w:val="20"/>
          <w:szCs w:val="20"/>
        </w:rPr>
        <w:t xml:space="preserve"> The CHO candidate target cell identity or index can be included in the HO command to trigger conventional handover to this cell thus the detailed configuration</w:t>
      </w:r>
      <w:r w:rsidR="0071582C">
        <w:rPr>
          <w:rFonts w:ascii="Arial" w:hAnsi="Arial" w:cs="Arial"/>
          <w:b/>
          <w:sz w:val="20"/>
          <w:szCs w:val="20"/>
        </w:rPr>
        <w:t xml:space="preserve"> would be omitted and UE should </w:t>
      </w:r>
      <w:r w:rsidR="00D11A95" w:rsidRPr="00D11A95">
        <w:rPr>
          <w:rFonts w:ascii="Arial" w:hAnsi="Arial" w:cs="Arial"/>
          <w:b/>
          <w:sz w:val="20"/>
          <w:szCs w:val="20"/>
        </w:rPr>
        <w:t xml:space="preserve">apply the </w:t>
      </w:r>
      <w:r w:rsidR="00D11A95" w:rsidRPr="00D11A95">
        <w:rPr>
          <w:rFonts w:ascii="Arial" w:hAnsi="Arial" w:cs="Arial"/>
          <w:b/>
          <w:i/>
          <w:sz w:val="20"/>
          <w:szCs w:val="20"/>
        </w:rPr>
        <w:t>c</w:t>
      </w:r>
      <w:bookmarkStart w:id="3" w:name="_GoBack"/>
      <w:bookmarkEnd w:id="3"/>
      <w:r w:rsidR="00D11A95" w:rsidRPr="00D11A95">
        <w:rPr>
          <w:rFonts w:ascii="Arial" w:hAnsi="Arial" w:cs="Arial"/>
          <w:b/>
          <w:i/>
          <w:sz w:val="20"/>
          <w:szCs w:val="20"/>
        </w:rPr>
        <w:t>ondRRCReconfig</w:t>
      </w:r>
      <w:r w:rsidR="00D11A95" w:rsidRPr="00D11A95">
        <w:rPr>
          <w:rFonts w:ascii="Arial" w:hAnsi="Arial" w:cs="Arial"/>
          <w:b/>
          <w:sz w:val="20"/>
          <w:szCs w:val="20"/>
        </w:rPr>
        <w:t xml:space="preserve"> stored for this cell.</w:t>
      </w:r>
    </w:p>
    <w:p w14:paraId="6852474C" w14:textId="5C2859E7" w:rsidR="00001D6A" w:rsidRDefault="00310264" w:rsidP="00310264">
      <w:pPr>
        <w:pStyle w:val="2"/>
        <w:numPr>
          <w:ilvl w:val="1"/>
          <w:numId w:val="3"/>
        </w:numPr>
        <w:tabs>
          <w:tab w:val="clear" w:pos="432"/>
        </w:tabs>
        <w:overflowPunct/>
        <w:autoSpaceDE/>
        <w:autoSpaceDN/>
        <w:adjustRightInd/>
        <w:spacing w:before="40" w:after="0" w:line="259" w:lineRule="auto"/>
        <w:textAlignment w:val="auto"/>
        <w:rPr>
          <w:rStyle w:val="af8"/>
          <w:rFonts w:cs="Arial"/>
          <w:b w:val="0"/>
          <w:sz w:val="28"/>
          <w:szCs w:val="28"/>
        </w:rPr>
      </w:pPr>
      <w:bookmarkStart w:id="4" w:name="OLE_LINK2"/>
      <w:r w:rsidRPr="00310264">
        <w:rPr>
          <w:rStyle w:val="af8"/>
          <w:rFonts w:cs="Arial"/>
          <w:b w:val="0"/>
          <w:sz w:val="28"/>
          <w:szCs w:val="28"/>
        </w:rPr>
        <w:lastRenderedPageBreak/>
        <w:t>Group based mobility</w:t>
      </w:r>
    </w:p>
    <w:p w14:paraId="156AB9FE" w14:textId="394BCB52" w:rsidR="000B6785" w:rsidRDefault="000B6785" w:rsidP="000B6785">
      <w:pPr>
        <w:jc w:val="center"/>
      </w:pPr>
      <w:r>
        <w:object w:dxaOrig="5401" w:dyaOrig="5115" w14:anchorId="01A88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55.75pt" o:ole="">
            <v:imagedata r:id="rId9" o:title=""/>
          </v:shape>
          <o:OLEObject Type="Embed" ProgID="Visio.Drawing.15" ShapeID="_x0000_i1025" DrawAspect="Content" ObjectID="_1721655054" r:id="rId10"/>
        </w:object>
      </w:r>
    </w:p>
    <w:p w14:paraId="2BC3D13F" w14:textId="2276B037" w:rsidR="000B6785" w:rsidRDefault="000B6785" w:rsidP="000B6785">
      <w:pPr>
        <w:jc w:val="center"/>
        <w:rPr>
          <w:rFonts w:ascii="Arial" w:hAnsi="Arial" w:cs="Arial"/>
          <w:sz w:val="20"/>
          <w:szCs w:val="20"/>
        </w:rPr>
      </w:pPr>
      <w:r w:rsidRPr="000B6785">
        <w:rPr>
          <w:rFonts w:ascii="Arial" w:hAnsi="Arial" w:cs="Arial"/>
          <w:sz w:val="20"/>
          <w:szCs w:val="20"/>
        </w:rPr>
        <w:t>Figure 1. Example of handover due to satellite mobility</w:t>
      </w:r>
    </w:p>
    <w:p w14:paraId="15780FCC" w14:textId="4F035DDB" w:rsidR="000B6785" w:rsidRDefault="000B6785" w:rsidP="000B6785">
      <w:pPr>
        <w:widowControl/>
        <w:jc w:val="left"/>
        <w:rPr>
          <w:rFonts w:ascii="Arial" w:hAnsi="Arial" w:cs="Arial"/>
          <w:bCs/>
          <w:kern w:val="0"/>
          <w:sz w:val="20"/>
          <w:szCs w:val="20"/>
        </w:rPr>
      </w:pPr>
      <w:r>
        <w:rPr>
          <w:rFonts w:ascii="Arial" w:hAnsi="Arial" w:cs="Arial"/>
          <w:bCs/>
          <w:kern w:val="0"/>
          <w:sz w:val="20"/>
          <w:szCs w:val="20"/>
        </w:rPr>
        <w:t>In NTN, handover may be triggered by satellite mobility and a large number of UEs need to be moved to another cell. Nowadays, UE would send measurement report to NW to help decide whether to move UE to another cell. While in NTN, multiple UEs may face the similar situation when satellite moves and there is no need for all of them to send measurement report.</w:t>
      </w:r>
      <w:r>
        <w:rPr>
          <w:rFonts w:ascii="Arial" w:hAnsi="Arial" w:cs="Arial" w:hint="eastAsia"/>
          <w:bCs/>
          <w:kern w:val="0"/>
          <w:sz w:val="20"/>
          <w:szCs w:val="20"/>
        </w:rPr>
        <w:t xml:space="preserve"> </w:t>
      </w:r>
      <w:r>
        <w:rPr>
          <w:rFonts w:ascii="Arial" w:hAnsi="Arial" w:cs="Arial"/>
          <w:bCs/>
          <w:kern w:val="0"/>
          <w:sz w:val="20"/>
          <w:szCs w:val="20"/>
        </w:rPr>
        <w:t xml:space="preserve">As shown in figure 1, multiple UEs are getting close to the cell edge and needs to be moved </w:t>
      </w:r>
      <w:r>
        <w:rPr>
          <w:rFonts w:ascii="Arial" w:hAnsi="Arial" w:cs="Arial" w:hint="eastAsia"/>
          <w:bCs/>
          <w:kern w:val="0"/>
          <w:sz w:val="20"/>
          <w:szCs w:val="20"/>
        </w:rPr>
        <w:t>f</w:t>
      </w:r>
      <w:r>
        <w:rPr>
          <w:rFonts w:ascii="Arial" w:hAnsi="Arial" w:cs="Arial"/>
          <w:bCs/>
          <w:kern w:val="0"/>
          <w:sz w:val="20"/>
          <w:szCs w:val="20"/>
        </w:rPr>
        <w:t>rom cell#1 to cell#2. The signaling overhead can be reduced if the measurement report from one UE can help network decide to hand over all the UEs nearby.</w:t>
      </w:r>
    </w:p>
    <w:p w14:paraId="4F3482B5" w14:textId="03E6A1FE" w:rsidR="000B6785" w:rsidRPr="000B6785" w:rsidRDefault="000B6785" w:rsidP="000B6785">
      <w:pPr>
        <w:widowControl/>
        <w:jc w:val="left"/>
        <w:rPr>
          <w:rFonts w:ascii="Arial" w:hAnsi="Arial" w:cs="Arial"/>
          <w:bCs/>
          <w:kern w:val="0"/>
          <w:sz w:val="20"/>
          <w:szCs w:val="20"/>
        </w:rPr>
      </w:pPr>
      <w:r>
        <w:rPr>
          <w:rFonts w:ascii="Arial" w:hAnsi="Arial" w:cs="Arial"/>
          <w:bCs/>
          <w:kern w:val="0"/>
          <w:sz w:val="20"/>
          <w:szCs w:val="20"/>
        </w:rPr>
        <w:t>With such consideration, we come up with the idea of group based mobility.</w:t>
      </w:r>
    </w:p>
    <w:p w14:paraId="759A5B27" w14:textId="205039B3" w:rsidR="00DE6A3B" w:rsidRDefault="003D770D" w:rsidP="003D770D">
      <w:pPr>
        <w:widowControl/>
        <w:jc w:val="center"/>
      </w:pPr>
      <w:r>
        <w:rPr>
          <w:rFonts w:hint="eastAsia"/>
        </w:rPr>
        <w:object w:dxaOrig="11980" w:dyaOrig="7740" w14:anchorId="694F3FD2">
          <v:shape id="对象 24" o:spid="_x0000_i1026" type="#_x0000_t75" style="width:414.75pt;height:268.5pt;mso-wrap-style:square;mso-position-horizontal-relative:page;mso-position-vertical-relative:page" o:ole="">
            <v:fill o:detectmouseclick="t"/>
            <v:imagedata r:id="rId11" o:title=""/>
            <o:lock v:ext="edit" aspectratio="f"/>
          </v:shape>
          <o:OLEObject Type="Embed" ProgID="Visio.Drawing.11" ShapeID="对象 24" DrawAspect="Content" ObjectID="_1721655055" r:id="rId12">
            <o:FieldCodes>\* MERGEFORMAT</o:FieldCodes>
          </o:OLEObject>
        </w:object>
      </w:r>
    </w:p>
    <w:p w14:paraId="3E98E8CA" w14:textId="41F1DAE3" w:rsidR="00825BB0" w:rsidRDefault="00825BB0" w:rsidP="003D770D">
      <w:pPr>
        <w:widowControl/>
        <w:jc w:val="center"/>
      </w:pPr>
      <w:r>
        <w:object w:dxaOrig="7726" w:dyaOrig="3271" w14:anchorId="3A9D5C7C">
          <v:shape id="_x0000_i1027" type="#_x0000_t75" style="width:386.25pt;height:163.5pt" o:ole="">
            <v:imagedata r:id="rId13" o:title=""/>
          </v:shape>
          <o:OLEObject Type="Embed" ProgID="Visio.Drawing.15" ShapeID="_x0000_i1027" DrawAspect="Content" ObjectID="_1721655056" r:id="rId14"/>
        </w:object>
      </w:r>
    </w:p>
    <w:p w14:paraId="36D91F98" w14:textId="789AC1A3" w:rsidR="00D43F75" w:rsidRDefault="00D43F75" w:rsidP="003D770D">
      <w:pPr>
        <w:widowControl/>
        <w:jc w:val="center"/>
        <w:rPr>
          <w:rFonts w:ascii="Arial" w:hAnsi="Arial" w:cs="Arial"/>
          <w:sz w:val="20"/>
          <w:szCs w:val="20"/>
        </w:rPr>
      </w:pPr>
      <w:r w:rsidRPr="00D43F75">
        <w:rPr>
          <w:rFonts w:ascii="Arial" w:hAnsi="Arial" w:cs="Arial"/>
          <w:sz w:val="20"/>
          <w:szCs w:val="20"/>
        </w:rPr>
        <w:t xml:space="preserve">Figure </w:t>
      </w:r>
      <w:r w:rsidR="000B6785">
        <w:rPr>
          <w:rFonts w:ascii="Arial" w:hAnsi="Arial" w:cs="Arial"/>
          <w:sz w:val="20"/>
          <w:szCs w:val="20"/>
        </w:rPr>
        <w:t>2</w:t>
      </w:r>
      <w:r w:rsidRPr="00D43F75">
        <w:rPr>
          <w:rFonts w:ascii="Arial" w:hAnsi="Arial" w:cs="Arial"/>
          <w:sz w:val="20"/>
          <w:szCs w:val="20"/>
        </w:rPr>
        <w:t>. An example of group based mobility</w:t>
      </w:r>
    </w:p>
    <w:p w14:paraId="64037642" w14:textId="1612B4BA" w:rsidR="000B6785" w:rsidRDefault="000B6785" w:rsidP="000B6785">
      <w:pPr>
        <w:widowControl/>
        <w:jc w:val="left"/>
        <w:rPr>
          <w:rFonts w:ascii="Arial" w:hAnsi="Arial" w:cs="Arial"/>
          <w:sz w:val="20"/>
          <w:szCs w:val="20"/>
        </w:rPr>
      </w:pPr>
      <w:r>
        <w:rPr>
          <w:rFonts w:ascii="Arial" w:hAnsi="Arial" w:cs="Arial"/>
          <w:sz w:val="20"/>
          <w:szCs w:val="20"/>
        </w:rPr>
        <w:t>As shown in the above figure 2, UEs are divided into sev</w:t>
      </w:r>
      <w:r w:rsidR="00652C98">
        <w:rPr>
          <w:rFonts w:ascii="Arial" w:hAnsi="Arial" w:cs="Arial"/>
          <w:sz w:val="20"/>
          <w:szCs w:val="20"/>
        </w:rPr>
        <w:t xml:space="preserve">eral groups, e.g. based on its location, </w:t>
      </w:r>
      <w:r>
        <w:rPr>
          <w:rFonts w:ascii="Arial" w:hAnsi="Arial" w:cs="Arial"/>
          <w:sz w:val="20"/>
          <w:szCs w:val="20"/>
        </w:rPr>
        <w:t>and each UE will be assigned with a group id.</w:t>
      </w:r>
      <w:r w:rsidR="00A90616">
        <w:rPr>
          <w:rFonts w:ascii="Arial" w:hAnsi="Arial" w:cs="Arial"/>
          <w:sz w:val="20"/>
          <w:szCs w:val="20"/>
        </w:rPr>
        <w:t xml:space="preserve"> The group id will be reported together with measurement results in measurement report. Network would then decide to handover all the UEs in this group or some of them.</w:t>
      </w:r>
    </w:p>
    <w:p w14:paraId="058280E9" w14:textId="3210D31B" w:rsidR="00285EBF" w:rsidRPr="00285EBF" w:rsidRDefault="00285EBF" w:rsidP="000B6785">
      <w:pPr>
        <w:widowControl/>
        <w:jc w:val="left"/>
        <w:rPr>
          <w:rFonts w:ascii="Arial" w:hAnsi="Arial" w:cs="Arial"/>
          <w:b/>
          <w:sz w:val="20"/>
          <w:szCs w:val="20"/>
        </w:rPr>
      </w:pPr>
      <w:r w:rsidRPr="00285EBF">
        <w:rPr>
          <w:rFonts w:ascii="Arial" w:hAnsi="Arial" w:cs="Arial"/>
          <w:b/>
          <w:sz w:val="20"/>
          <w:szCs w:val="20"/>
        </w:rPr>
        <w:t>Proposal 2: Group based handover should be supported with the following:</w:t>
      </w:r>
    </w:p>
    <w:p w14:paraId="444CF654" w14:textId="5D789F3E" w:rsidR="00285EBF" w:rsidRPr="00285EBF" w:rsidRDefault="00285EBF" w:rsidP="00285EBF">
      <w:pPr>
        <w:pStyle w:val="afe"/>
        <w:widowControl/>
        <w:numPr>
          <w:ilvl w:val="0"/>
          <w:numId w:val="44"/>
        </w:numPr>
        <w:ind w:firstLineChars="0"/>
        <w:jc w:val="left"/>
        <w:rPr>
          <w:rFonts w:ascii="Arial" w:hAnsi="Arial" w:cs="Arial"/>
          <w:b/>
          <w:sz w:val="20"/>
          <w:szCs w:val="20"/>
        </w:rPr>
      </w:pPr>
      <w:r w:rsidRPr="00285EBF">
        <w:rPr>
          <w:rFonts w:ascii="Arial" w:hAnsi="Arial" w:cs="Arial" w:hint="eastAsia"/>
          <w:b/>
          <w:sz w:val="20"/>
          <w:szCs w:val="20"/>
        </w:rPr>
        <w:t>D</w:t>
      </w:r>
      <w:r w:rsidRPr="00285EBF">
        <w:rPr>
          <w:rFonts w:ascii="Arial" w:hAnsi="Arial" w:cs="Arial"/>
          <w:b/>
          <w:sz w:val="20"/>
          <w:szCs w:val="20"/>
        </w:rPr>
        <w:t>ivide UE into several groups and assign each UE with a group id.</w:t>
      </w:r>
    </w:p>
    <w:p w14:paraId="7781EB8E" w14:textId="09C9FBB3" w:rsidR="00285EBF" w:rsidRPr="00285EBF" w:rsidRDefault="00285EBF" w:rsidP="00285EBF">
      <w:pPr>
        <w:pStyle w:val="afe"/>
        <w:widowControl/>
        <w:numPr>
          <w:ilvl w:val="0"/>
          <w:numId w:val="44"/>
        </w:numPr>
        <w:ind w:firstLineChars="0"/>
        <w:jc w:val="left"/>
        <w:rPr>
          <w:rFonts w:ascii="Arial" w:hAnsi="Arial" w:cs="Arial"/>
          <w:b/>
          <w:sz w:val="20"/>
          <w:szCs w:val="20"/>
        </w:rPr>
      </w:pPr>
      <w:r w:rsidRPr="00285EBF">
        <w:rPr>
          <w:rFonts w:ascii="Arial" w:hAnsi="Arial" w:cs="Arial" w:hint="eastAsia"/>
          <w:b/>
          <w:sz w:val="20"/>
          <w:szCs w:val="20"/>
        </w:rPr>
        <w:t>U</w:t>
      </w:r>
      <w:r w:rsidRPr="00285EBF">
        <w:rPr>
          <w:rFonts w:ascii="Arial" w:hAnsi="Arial" w:cs="Arial"/>
          <w:b/>
          <w:sz w:val="20"/>
          <w:szCs w:val="20"/>
        </w:rPr>
        <w:t>E report the group id together with the measurement results in measurement report.</w:t>
      </w:r>
    </w:p>
    <w:p w14:paraId="24C9AD43" w14:textId="12592CF4" w:rsidR="00285EBF" w:rsidRPr="00285EBF" w:rsidRDefault="00285EBF" w:rsidP="00285EBF">
      <w:pPr>
        <w:pStyle w:val="afe"/>
        <w:widowControl/>
        <w:numPr>
          <w:ilvl w:val="0"/>
          <w:numId w:val="44"/>
        </w:numPr>
        <w:ind w:firstLineChars="0"/>
        <w:jc w:val="left"/>
        <w:rPr>
          <w:rFonts w:ascii="Arial" w:hAnsi="Arial" w:cs="Arial"/>
          <w:b/>
          <w:sz w:val="20"/>
          <w:szCs w:val="20"/>
        </w:rPr>
      </w:pPr>
      <w:r w:rsidRPr="00285EBF">
        <w:rPr>
          <w:rFonts w:ascii="Arial" w:hAnsi="Arial" w:cs="Arial"/>
          <w:b/>
          <w:sz w:val="20"/>
          <w:szCs w:val="20"/>
        </w:rPr>
        <w:t>Network decide to handover all the UEs o</w:t>
      </w:r>
      <w:r>
        <w:rPr>
          <w:rFonts w:ascii="Arial" w:hAnsi="Arial" w:cs="Arial"/>
          <w:b/>
          <w:sz w:val="20"/>
          <w:szCs w:val="20"/>
        </w:rPr>
        <w:t>r some of them in this group and send HO command to each UE.</w:t>
      </w:r>
    </w:p>
    <w:bookmarkEnd w:id="2"/>
    <w:bookmarkEnd w:id="4"/>
    <w:p w14:paraId="3D0B7A3A" w14:textId="525356D4" w:rsidR="004412B6" w:rsidRPr="004412B6" w:rsidRDefault="00321692" w:rsidP="004412B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37A6A323" w14:textId="62F5AF68" w:rsidR="004412B6" w:rsidRDefault="009C3A55" w:rsidP="004412B6">
      <w:pPr>
        <w:rPr>
          <w:rFonts w:ascii="Arial" w:hAnsi="Arial" w:cs="Arial"/>
          <w:bCs/>
          <w:kern w:val="0"/>
          <w:sz w:val="20"/>
          <w:szCs w:val="20"/>
        </w:rPr>
      </w:pPr>
      <w:r>
        <w:rPr>
          <w:rFonts w:ascii="Arial" w:hAnsi="Arial" w:cs="Arial"/>
          <w:bCs/>
          <w:kern w:val="0"/>
          <w:sz w:val="20"/>
          <w:szCs w:val="20"/>
        </w:rPr>
        <w:t>Based on the analysis i</w:t>
      </w:r>
      <w:r w:rsidR="004412B6" w:rsidRPr="004412B6">
        <w:rPr>
          <w:rFonts w:ascii="Arial" w:hAnsi="Arial" w:cs="Arial"/>
          <w:bCs/>
          <w:kern w:val="0"/>
          <w:sz w:val="20"/>
          <w:szCs w:val="20"/>
        </w:rPr>
        <w:t xml:space="preserve">n previous sections, the following proposals </w:t>
      </w:r>
      <w:r>
        <w:rPr>
          <w:rFonts w:ascii="Arial" w:hAnsi="Arial" w:cs="Arial"/>
          <w:bCs/>
          <w:kern w:val="0"/>
          <w:sz w:val="20"/>
          <w:szCs w:val="20"/>
        </w:rPr>
        <w:t>are</w:t>
      </w:r>
      <w:r w:rsidRPr="004412B6">
        <w:rPr>
          <w:rFonts w:ascii="Arial" w:hAnsi="Arial" w:cs="Arial"/>
          <w:bCs/>
          <w:kern w:val="0"/>
          <w:sz w:val="20"/>
          <w:szCs w:val="20"/>
        </w:rPr>
        <w:t xml:space="preserve"> </w:t>
      </w:r>
      <w:r w:rsidR="005F075B">
        <w:rPr>
          <w:rFonts w:ascii="Arial" w:hAnsi="Arial" w:cs="Arial"/>
          <w:bCs/>
          <w:kern w:val="0"/>
          <w:sz w:val="20"/>
          <w:szCs w:val="20"/>
        </w:rPr>
        <w:t>given</w:t>
      </w:r>
      <w:r w:rsidR="004412B6" w:rsidRPr="004412B6">
        <w:rPr>
          <w:rFonts w:ascii="Arial" w:hAnsi="Arial" w:cs="Arial"/>
          <w:bCs/>
          <w:kern w:val="0"/>
          <w:sz w:val="20"/>
          <w:szCs w:val="20"/>
        </w:rPr>
        <w:t xml:space="preserve">: </w:t>
      </w:r>
    </w:p>
    <w:p w14:paraId="5BBC36E4" w14:textId="77777777" w:rsidR="00825BB0" w:rsidRDefault="00825BB0" w:rsidP="00825BB0">
      <w:pPr>
        <w:jc w:val="left"/>
        <w:rPr>
          <w:rFonts w:ascii="Arial" w:hAnsi="Arial" w:cs="Arial"/>
          <w:b/>
          <w:sz w:val="20"/>
          <w:szCs w:val="20"/>
        </w:rPr>
      </w:pPr>
      <w:r w:rsidRPr="00D11A95">
        <w:rPr>
          <w:rFonts w:ascii="Arial" w:hAnsi="Arial" w:cs="Arial"/>
          <w:b/>
          <w:sz w:val="20"/>
          <w:szCs w:val="20"/>
        </w:rPr>
        <w:t xml:space="preserve">Proposal 1: The CHO candidate target cell identity or index can be included in the HO command to trigger conventional handover to this cell thus the detailed configuration would be omitted and UE should apply the </w:t>
      </w:r>
      <w:r w:rsidRPr="00D11A95">
        <w:rPr>
          <w:rFonts w:ascii="Arial" w:hAnsi="Arial" w:cs="Arial"/>
          <w:b/>
          <w:i/>
          <w:sz w:val="20"/>
          <w:szCs w:val="20"/>
        </w:rPr>
        <w:t>condRRCReconfig</w:t>
      </w:r>
      <w:r w:rsidRPr="00D11A95">
        <w:rPr>
          <w:rFonts w:ascii="Arial" w:hAnsi="Arial" w:cs="Arial"/>
          <w:b/>
          <w:sz w:val="20"/>
          <w:szCs w:val="20"/>
        </w:rPr>
        <w:t xml:space="preserve"> stored for this cell.</w:t>
      </w:r>
    </w:p>
    <w:p w14:paraId="1342BDAC" w14:textId="77777777" w:rsidR="00825BB0" w:rsidRPr="00285EBF" w:rsidRDefault="00825BB0" w:rsidP="00825BB0">
      <w:pPr>
        <w:widowControl/>
        <w:jc w:val="left"/>
        <w:rPr>
          <w:rFonts w:ascii="Arial" w:hAnsi="Arial" w:cs="Arial"/>
          <w:b/>
          <w:sz w:val="20"/>
          <w:szCs w:val="20"/>
        </w:rPr>
      </w:pPr>
      <w:r w:rsidRPr="00285EBF">
        <w:rPr>
          <w:rFonts w:ascii="Arial" w:hAnsi="Arial" w:cs="Arial"/>
          <w:b/>
          <w:sz w:val="20"/>
          <w:szCs w:val="20"/>
        </w:rPr>
        <w:t>Proposal 2: Group based handover should be supported with the following:</w:t>
      </w:r>
    </w:p>
    <w:p w14:paraId="027337DF" w14:textId="77777777" w:rsidR="00825BB0" w:rsidRPr="00285EBF" w:rsidRDefault="00825BB0" w:rsidP="00825BB0">
      <w:pPr>
        <w:pStyle w:val="afe"/>
        <w:widowControl/>
        <w:numPr>
          <w:ilvl w:val="0"/>
          <w:numId w:val="44"/>
        </w:numPr>
        <w:ind w:firstLineChars="0"/>
        <w:jc w:val="left"/>
        <w:rPr>
          <w:rFonts w:ascii="Arial" w:hAnsi="Arial" w:cs="Arial"/>
          <w:b/>
          <w:sz w:val="20"/>
          <w:szCs w:val="20"/>
        </w:rPr>
      </w:pPr>
      <w:r w:rsidRPr="00285EBF">
        <w:rPr>
          <w:rFonts w:ascii="Arial" w:hAnsi="Arial" w:cs="Arial" w:hint="eastAsia"/>
          <w:b/>
          <w:sz w:val="20"/>
          <w:szCs w:val="20"/>
        </w:rPr>
        <w:t>D</w:t>
      </w:r>
      <w:r w:rsidRPr="00285EBF">
        <w:rPr>
          <w:rFonts w:ascii="Arial" w:hAnsi="Arial" w:cs="Arial"/>
          <w:b/>
          <w:sz w:val="20"/>
          <w:szCs w:val="20"/>
        </w:rPr>
        <w:t>ivide UE into several groups and assign each UE with a group id.</w:t>
      </w:r>
    </w:p>
    <w:p w14:paraId="193304F6" w14:textId="77777777" w:rsidR="00825BB0" w:rsidRPr="00285EBF" w:rsidRDefault="00825BB0" w:rsidP="00825BB0">
      <w:pPr>
        <w:pStyle w:val="afe"/>
        <w:widowControl/>
        <w:numPr>
          <w:ilvl w:val="0"/>
          <w:numId w:val="44"/>
        </w:numPr>
        <w:ind w:firstLineChars="0"/>
        <w:jc w:val="left"/>
        <w:rPr>
          <w:rFonts w:ascii="Arial" w:hAnsi="Arial" w:cs="Arial"/>
          <w:b/>
          <w:sz w:val="20"/>
          <w:szCs w:val="20"/>
        </w:rPr>
      </w:pPr>
      <w:r w:rsidRPr="00285EBF">
        <w:rPr>
          <w:rFonts w:ascii="Arial" w:hAnsi="Arial" w:cs="Arial" w:hint="eastAsia"/>
          <w:b/>
          <w:sz w:val="20"/>
          <w:szCs w:val="20"/>
        </w:rPr>
        <w:t>U</w:t>
      </w:r>
      <w:r w:rsidRPr="00285EBF">
        <w:rPr>
          <w:rFonts w:ascii="Arial" w:hAnsi="Arial" w:cs="Arial"/>
          <w:b/>
          <w:sz w:val="20"/>
          <w:szCs w:val="20"/>
        </w:rPr>
        <w:t>E report the group id together with the measurement results in measurement report.</w:t>
      </w:r>
    </w:p>
    <w:p w14:paraId="76670822" w14:textId="6F59FF01" w:rsidR="00825BB0" w:rsidRPr="00825BB0" w:rsidRDefault="00825BB0" w:rsidP="004412B6">
      <w:pPr>
        <w:pStyle w:val="afe"/>
        <w:widowControl/>
        <w:numPr>
          <w:ilvl w:val="0"/>
          <w:numId w:val="44"/>
        </w:numPr>
        <w:ind w:firstLineChars="0"/>
        <w:jc w:val="left"/>
        <w:rPr>
          <w:rFonts w:ascii="Arial" w:hAnsi="Arial" w:cs="Arial"/>
          <w:b/>
          <w:sz w:val="20"/>
          <w:szCs w:val="20"/>
        </w:rPr>
      </w:pPr>
      <w:r w:rsidRPr="00285EBF">
        <w:rPr>
          <w:rFonts w:ascii="Arial" w:hAnsi="Arial" w:cs="Arial"/>
          <w:b/>
          <w:sz w:val="20"/>
          <w:szCs w:val="20"/>
        </w:rPr>
        <w:t>Network decide to handover all the UEs o</w:t>
      </w:r>
      <w:r>
        <w:rPr>
          <w:rFonts w:ascii="Arial" w:hAnsi="Arial" w:cs="Arial"/>
          <w:b/>
          <w:sz w:val="20"/>
          <w:szCs w:val="20"/>
        </w:rPr>
        <w:t>r some of them in this group and send HO command to each UE.</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CDF5D9C" w14:textId="10B3BCCB" w:rsidR="00302077" w:rsidRDefault="00E127C3" w:rsidP="00241B22">
      <w:pPr>
        <w:rPr>
          <w:rFonts w:ascii="Arial" w:hAnsi="Arial" w:cs="Arial"/>
          <w:bCs/>
          <w:kern w:val="0"/>
          <w:sz w:val="20"/>
          <w:szCs w:val="20"/>
        </w:rPr>
      </w:pPr>
      <w:r w:rsidRPr="00E127C3">
        <w:rPr>
          <w:rFonts w:ascii="Arial" w:hAnsi="Arial" w:cs="Arial"/>
          <w:bCs/>
          <w:kern w:val="0"/>
          <w:sz w:val="20"/>
          <w:szCs w:val="20"/>
        </w:rPr>
        <w:t>[1] RP-221819 Revised WID: NR NTN (Non-Terrestrial Networks) enhancements</w:t>
      </w:r>
    </w:p>
    <w:sectPr w:rsidR="00302077" w:rsidSect="00B72EF4">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56CCB" w14:textId="77777777" w:rsidR="00900370" w:rsidRDefault="00900370">
      <w:pPr>
        <w:spacing w:after="0" w:line="240" w:lineRule="auto"/>
      </w:pPr>
      <w:r>
        <w:separator/>
      </w:r>
    </w:p>
  </w:endnote>
  <w:endnote w:type="continuationSeparator" w:id="0">
    <w:p w14:paraId="6EA2AECC" w14:textId="77777777" w:rsidR="00900370" w:rsidRDefault="00900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EAACA" w14:textId="77777777" w:rsidR="00900370" w:rsidRDefault="00900370">
      <w:pPr>
        <w:spacing w:after="0" w:line="240" w:lineRule="auto"/>
      </w:pPr>
      <w:r>
        <w:separator/>
      </w:r>
    </w:p>
  </w:footnote>
  <w:footnote w:type="continuationSeparator" w:id="0">
    <w:p w14:paraId="3F515343" w14:textId="77777777" w:rsidR="00900370" w:rsidRDefault="009003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592979"/>
    <w:multiLevelType w:val="multilevel"/>
    <w:tmpl w:val="71F8B0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D0F0444"/>
    <w:multiLevelType w:val="hybridMultilevel"/>
    <w:tmpl w:val="A7784B2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BF6F34"/>
    <w:multiLevelType w:val="hybridMultilevel"/>
    <w:tmpl w:val="D1202D90"/>
    <w:lvl w:ilvl="0" w:tplc="3EA838B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D56446"/>
    <w:multiLevelType w:val="multilevel"/>
    <w:tmpl w:val="1DB63954"/>
    <w:lvl w:ilvl="0">
      <w:start w:val="1"/>
      <w:numFmt w:val="upperLetter"/>
      <w:lvlText w:val="%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3805"/>
        </w:tabs>
        <w:ind w:left="-3805" w:hanging="360"/>
      </w:pPr>
      <w:rPr>
        <w:rFonts w:ascii="Times New Roman" w:hAnsi="Times New Roman" w:cs="Times New Roman" w:hint="default"/>
      </w:rPr>
    </w:lvl>
    <w:lvl w:ilvl="2">
      <w:start w:val="1"/>
      <w:numFmt w:val="lowerRoman"/>
      <w:lvlText w:val="%3."/>
      <w:lvlJc w:val="right"/>
      <w:pPr>
        <w:tabs>
          <w:tab w:val="num" w:pos="-3085"/>
        </w:tabs>
        <w:ind w:left="-3085" w:hanging="180"/>
      </w:pPr>
      <w:rPr>
        <w:rFonts w:ascii="Times New Roman" w:hAnsi="Times New Roman" w:cs="Times New Roman" w:hint="default"/>
      </w:rPr>
    </w:lvl>
    <w:lvl w:ilvl="3">
      <w:start w:val="1"/>
      <w:numFmt w:val="decimal"/>
      <w:lvlText w:val="%4."/>
      <w:lvlJc w:val="left"/>
      <w:pPr>
        <w:tabs>
          <w:tab w:val="num" w:pos="-2365"/>
        </w:tabs>
        <w:ind w:left="-2365" w:hanging="360"/>
      </w:pPr>
      <w:rPr>
        <w:rFonts w:ascii="Times New Roman" w:hAnsi="Times New Roman" w:cs="Times New Roman" w:hint="default"/>
      </w:rPr>
    </w:lvl>
    <w:lvl w:ilvl="4">
      <w:start w:val="1"/>
      <w:numFmt w:val="lowerLetter"/>
      <w:lvlText w:val="%5."/>
      <w:lvlJc w:val="left"/>
      <w:pPr>
        <w:tabs>
          <w:tab w:val="num" w:pos="-1645"/>
        </w:tabs>
        <w:ind w:left="-1645" w:hanging="360"/>
      </w:pPr>
      <w:rPr>
        <w:rFonts w:ascii="Times New Roman" w:hAnsi="Times New Roman" w:cs="Times New Roman" w:hint="default"/>
      </w:rPr>
    </w:lvl>
    <w:lvl w:ilvl="5">
      <w:start w:val="1"/>
      <w:numFmt w:val="lowerRoman"/>
      <w:lvlText w:val="%6."/>
      <w:lvlJc w:val="right"/>
      <w:pPr>
        <w:tabs>
          <w:tab w:val="num" w:pos="-925"/>
        </w:tabs>
        <w:ind w:left="-925" w:hanging="180"/>
      </w:pPr>
      <w:rPr>
        <w:rFonts w:ascii="Times New Roman" w:hAnsi="Times New Roman" w:cs="Times New Roman" w:hint="default"/>
      </w:rPr>
    </w:lvl>
    <w:lvl w:ilvl="6">
      <w:start w:val="1"/>
      <w:numFmt w:val="decimal"/>
      <w:lvlText w:val="%7."/>
      <w:lvlJc w:val="left"/>
      <w:pPr>
        <w:tabs>
          <w:tab w:val="num" w:pos="-205"/>
        </w:tabs>
        <w:ind w:left="-205" w:hanging="360"/>
      </w:pPr>
      <w:rPr>
        <w:rFonts w:ascii="Times New Roman" w:hAnsi="Times New Roman" w:cs="Times New Roman" w:hint="default"/>
      </w:rPr>
    </w:lvl>
    <w:lvl w:ilvl="7">
      <w:start w:val="1"/>
      <w:numFmt w:val="lowerLetter"/>
      <w:lvlText w:val="%8."/>
      <w:lvlJc w:val="left"/>
      <w:pPr>
        <w:tabs>
          <w:tab w:val="num" w:pos="515"/>
        </w:tabs>
        <w:ind w:left="515" w:hanging="360"/>
      </w:pPr>
      <w:rPr>
        <w:rFonts w:ascii="Times New Roman" w:hAnsi="Times New Roman" w:cs="Times New Roman" w:hint="default"/>
      </w:rPr>
    </w:lvl>
    <w:lvl w:ilvl="8">
      <w:start w:val="1"/>
      <w:numFmt w:val="lowerRoman"/>
      <w:lvlText w:val="%9."/>
      <w:lvlJc w:val="right"/>
      <w:pPr>
        <w:tabs>
          <w:tab w:val="num" w:pos="1235"/>
        </w:tabs>
        <w:ind w:left="1235" w:hanging="180"/>
      </w:pPr>
      <w:rPr>
        <w:rFonts w:ascii="Times New Roman" w:hAnsi="Times New Roman" w:cs="Times New Roman" w:hint="default"/>
      </w:rPr>
    </w:lvl>
  </w:abstractNum>
  <w:abstractNum w:abstractNumId="20" w15:restartNumberingAfterBreak="0">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C80CA5"/>
    <w:multiLevelType w:val="multilevel"/>
    <w:tmpl w:val="B29C8A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F02043"/>
    <w:multiLevelType w:val="hybridMultilevel"/>
    <w:tmpl w:val="DF52F612"/>
    <w:lvl w:ilvl="0" w:tplc="2F00A242">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933F84"/>
    <w:multiLevelType w:val="hybridMultilevel"/>
    <w:tmpl w:val="E24AB38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157F7F"/>
    <w:multiLevelType w:val="multilevel"/>
    <w:tmpl w:val="0E7032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C4666CA"/>
    <w:multiLevelType w:val="multilevel"/>
    <w:tmpl w:val="44DAEFD0"/>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26C3CDC"/>
    <w:multiLevelType w:val="hybridMultilevel"/>
    <w:tmpl w:val="0218B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523121"/>
    <w:multiLevelType w:val="hybridMultilevel"/>
    <w:tmpl w:val="B456C076"/>
    <w:lvl w:ilvl="0" w:tplc="515C92D0">
      <w:start w:val="2"/>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C41FE2"/>
    <w:multiLevelType w:val="hybridMultilevel"/>
    <w:tmpl w:val="A52874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7F1B8C"/>
    <w:multiLevelType w:val="hybridMultilevel"/>
    <w:tmpl w:val="F3AE0508"/>
    <w:lvl w:ilvl="0" w:tplc="63AAC6B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BB08D1"/>
    <w:multiLevelType w:val="hybridMultilevel"/>
    <w:tmpl w:val="82E02B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E653E41"/>
    <w:multiLevelType w:val="hybridMultilevel"/>
    <w:tmpl w:val="269A56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F524FCA"/>
    <w:multiLevelType w:val="hybridMultilevel"/>
    <w:tmpl w:val="8B8E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7"/>
  </w:num>
  <w:num w:numId="3">
    <w:abstractNumId w:val="7"/>
  </w:num>
  <w:num w:numId="4">
    <w:abstractNumId w:val="36"/>
  </w:num>
  <w:num w:numId="5">
    <w:abstractNumId w:val="0"/>
  </w:num>
  <w:num w:numId="6">
    <w:abstractNumId w:val="20"/>
  </w:num>
  <w:num w:numId="7">
    <w:abstractNumId w:val="12"/>
  </w:num>
  <w:num w:numId="8">
    <w:abstractNumId w:val="14"/>
  </w:num>
  <w:num w:numId="9">
    <w:abstractNumId w:val="10"/>
  </w:num>
  <w:num w:numId="10">
    <w:abstractNumId w:val="4"/>
  </w:num>
  <w:num w:numId="11">
    <w:abstractNumId w:val="39"/>
  </w:num>
  <w:num w:numId="12">
    <w:abstractNumId w:val="9"/>
  </w:num>
  <w:num w:numId="13">
    <w:abstractNumId w:val="6"/>
  </w:num>
  <w:num w:numId="14">
    <w:abstractNumId w:val="35"/>
  </w:num>
  <w:num w:numId="15">
    <w:abstractNumId w:val="5"/>
  </w:num>
  <w:num w:numId="16">
    <w:abstractNumId w:val="34"/>
  </w:num>
  <w:num w:numId="17">
    <w:abstractNumId w:val="8"/>
  </w:num>
  <w:num w:numId="18">
    <w:abstractNumId w:val="32"/>
  </w:num>
  <w:num w:numId="19">
    <w:abstractNumId w:val="18"/>
  </w:num>
  <w:num w:numId="20">
    <w:abstractNumId w:val="13"/>
  </w:num>
  <w:num w:numId="21">
    <w:abstractNumId w:val="11"/>
  </w:num>
  <w:num w:numId="22">
    <w:abstractNumId w:val="41"/>
  </w:num>
  <w:num w:numId="23">
    <w:abstractNumId w:val="23"/>
  </w:num>
  <w:num w:numId="24">
    <w:abstractNumId w:val="33"/>
  </w:num>
  <w:num w:numId="25">
    <w:abstractNumId w:val="1"/>
  </w:num>
  <w:num w:numId="26">
    <w:abstractNumId w:val="2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40"/>
  </w:num>
  <w:num w:numId="30">
    <w:abstractNumId w:val="26"/>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7"/>
  </w:num>
  <w:num w:numId="34">
    <w:abstractNumId w:val="22"/>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15"/>
  </w:num>
  <w:num w:numId="39">
    <w:abstractNumId w:val="21"/>
  </w:num>
  <w:num w:numId="40">
    <w:abstractNumId w:val="25"/>
  </w:num>
  <w:num w:numId="41">
    <w:abstractNumId w:val="16"/>
  </w:num>
  <w:num w:numId="42">
    <w:abstractNumId w:val="38"/>
  </w:num>
  <w:num w:numId="43">
    <w:abstractNumId w:val="30"/>
  </w:num>
  <w:num w:numId="4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 w:type="numbering" w:customStyle="1" w:styleId="14">
    <w:name w:val="无列表1"/>
    <w:next w:val="a2"/>
    <w:uiPriority w:val="99"/>
    <w:semiHidden/>
    <w:unhideWhenUsed/>
    <w:rsid w:val="00F353BB"/>
  </w:style>
  <w:style w:type="paragraph" w:customStyle="1" w:styleId="16">
    <w:name w:val="列出段落1"/>
    <w:basedOn w:val="a"/>
    <w:semiHidden/>
    <w:rsid w:val="00DE6A3B"/>
    <w:pPr>
      <w:spacing w:before="100" w:beforeAutospacing="1" w:line="256" w:lineRule="auto"/>
      <w:ind w:firstLineChars="200" w:firstLine="420"/>
    </w:pPr>
    <w:rPr>
      <w:rFonts w:eastAsia="宋体"/>
      <w:szCs w:val="21"/>
    </w:rPr>
  </w:style>
  <w:style w:type="table" w:customStyle="1" w:styleId="4-51">
    <w:name w:val="网格表 4 - 着色 51"/>
    <w:basedOn w:val="a1"/>
    <w:rsid w:val="00DE6A3B"/>
    <w:rPr>
      <w:rFonts w:eastAsia="Times New Roman"/>
    </w:rPr>
    <w:tblPr>
      <w:tblInd w:w="0" w:type="nil"/>
      <w:tblBorders>
        <w:top w:val="single" w:sz="4" w:space="0" w:color="BADC8D"/>
        <w:left w:val="single" w:sz="4" w:space="0" w:color="BADC8D"/>
        <w:bottom w:val="single" w:sz="4" w:space="0" w:color="BADC8D"/>
        <w:right w:val="single" w:sz="4" w:space="0" w:color="BADC8D"/>
        <w:insideH w:val="single" w:sz="4" w:space="0" w:color="BADC8D"/>
        <w:insideV w:val="single" w:sz="4" w:space="0" w:color="BADC8D"/>
      </w:tblBorders>
    </w:tblPr>
    <w:tblStylePr w:type="firstRow">
      <w:rPr>
        <w:rFonts w:ascii="Times New Roman" w:hAnsi="Times New Roman" w:cs="Times New Roman" w:hint="default"/>
        <w:b/>
        <w:bCs/>
        <w:color w:val="FFFFFF"/>
      </w:rPr>
      <w:tblPr/>
      <w:tcPr>
        <w:tcBorders>
          <w:top w:val="single" w:sz="4" w:space="0" w:color="8DC642"/>
          <w:left w:val="single" w:sz="4" w:space="0" w:color="8DC642"/>
          <w:bottom w:val="single" w:sz="4" w:space="0" w:color="8DC642"/>
          <w:right w:val="single" w:sz="4" w:space="0" w:color="8DC642"/>
          <w:insideH w:val="none" w:sz="0" w:space="0" w:color="auto"/>
          <w:insideV w:val="none" w:sz="0" w:space="0" w:color="auto"/>
        </w:tcBorders>
        <w:shd w:val="clear" w:color="auto" w:fill="8DC642"/>
      </w:tcPr>
    </w:tblStylePr>
    <w:tblStylePr w:type="lastRow">
      <w:rPr>
        <w:rFonts w:ascii="Times New Roman" w:hAnsi="Times New Roman" w:cs="Times New Roman" w:hint="default"/>
        <w:b/>
        <w:bCs/>
      </w:rPr>
      <w:tblPr/>
      <w:tcPr>
        <w:tcBorders>
          <w:top w:val="double" w:sz="2" w:space="0" w:color="8DC642"/>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E8F3D9"/>
      </w:tcPr>
    </w:tblStylePr>
    <w:tblStylePr w:type="band1Horz">
      <w:tblPr/>
      <w:tcPr>
        <w:shd w:val="clear" w:color="auto" w:fill="E8F3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182937052">
      <w:bodyDiv w:val="1"/>
      <w:marLeft w:val="0"/>
      <w:marRight w:val="0"/>
      <w:marTop w:val="0"/>
      <w:marBottom w:val="0"/>
      <w:divBdr>
        <w:top w:val="none" w:sz="0" w:space="0" w:color="auto"/>
        <w:left w:val="none" w:sz="0" w:space="0" w:color="auto"/>
        <w:bottom w:val="none" w:sz="0" w:space="0" w:color="auto"/>
        <w:right w:val="none" w:sz="0" w:space="0" w:color="auto"/>
      </w:divBdr>
    </w:div>
    <w:div w:id="284316703">
      <w:bodyDiv w:val="1"/>
      <w:marLeft w:val="0"/>
      <w:marRight w:val="0"/>
      <w:marTop w:val="0"/>
      <w:marBottom w:val="0"/>
      <w:divBdr>
        <w:top w:val="none" w:sz="0" w:space="0" w:color="auto"/>
        <w:left w:val="none" w:sz="0" w:space="0" w:color="auto"/>
        <w:bottom w:val="none" w:sz="0" w:space="0" w:color="auto"/>
        <w:right w:val="none" w:sz="0" w:space="0" w:color="auto"/>
      </w:divBdr>
    </w:div>
    <w:div w:id="404651696">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769744857">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011226356">
      <w:bodyDiv w:val="1"/>
      <w:marLeft w:val="0"/>
      <w:marRight w:val="0"/>
      <w:marTop w:val="0"/>
      <w:marBottom w:val="0"/>
      <w:divBdr>
        <w:top w:val="none" w:sz="0" w:space="0" w:color="auto"/>
        <w:left w:val="none" w:sz="0" w:space="0" w:color="auto"/>
        <w:bottom w:val="none" w:sz="0" w:space="0" w:color="auto"/>
        <w:right w:val="none" w:sz="0" w:space="0" w:color="auto"/>
      </w:divBdr>
    </w:div>
    <w:div w:id="1216546636">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445614788">
      <w:bodyDiv w:val="1"/>
      <w:marLeft w:val="0"/>
      <w:marRight w:val="0"/>
      <w:marTop w:val="0"/>
      <w:marBottom w:val="0"/>
      <w:divBdr>
        <w:top w:val="none" w:sz="0" w:space="0" w:color="auto"/>
        <w:left w:val="none" w:sz="0" w:space="0" w:color="auto"/>
        <w:bottom w:val="none" w:sz="0" w:space="0" w:color="auto"/>
        <w:right w:val="none" w:sz="0" w:space="0" w:color="auto"/>
      </w:divBdr>
    </w:div>
    <w:div w:id="1496919366">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820026471">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 w:id="2051344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0F276-0561-4FBC-A5C7-05852E04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645</Words>
  <Characters>3677</Characters>
  <Application>Microsoft Office Word</Application>
  <DocSecurity>0</DocSecurity>
  <Lines>30</Lines>
  <Paragraphs>8</Paragraphs>
  <ScaleCrop>false</ScaleCrop>
  <Company>www.zte.com.cn</Company>
  <LinksUpToDate>false</LinksUpToDate>
  <CharactersWithSpaces>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ZTE_Yuan</cp:lastModifiedBy>
  <cp:revision>133</cp:revision>
  <cp:lastPrinted>2113-01-01T00:00:00Z</cp:lastPrinted>
  <dcterms:created xsi:type="dcterms:W3CDTF">2022-08-08T13:07:00Z</dcterms:created>
  <dcterms:modified xsi:type="dcterms:W3CDTF">2022-08-10T08:44:00Z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